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  <w:kern w:val="0"/>
        </w:rPr>
      </w:pPr>
      <w:r>
        <w:rPr>
          <w:rFonts w:eastAsia="ＭＳ ゴシック" w:ascii="ＭＳ ゴシック" w:hAnsi="ＭＳ ゴシック"/>
          <w:color w:val="000000"/>
          <w:kern w:val="0"/>
        </w:rPr>
        <mc:AlternateContent>
          <mc:Choice Requires="wps">
            <w:drawing>
              <wp:anchor behindDoc="0" distT="3175" distB="3175" distL="3810" distR="2540" simplePos="0" locked="0" layoutInCell="0" allowOverlap="1" relativeHeight="2" wp14:anchorId="73322E1C">
                <wp:simplePos x="0" y="0"/>
                <wp:positionH relativeFrom="margin">
                  <wp:posOffset>20955</wp:posOffset>
                </wp:positionH>
                <wp:positionV relativeFrom="paragraph">
                  <wp:posOffset>115570</wp:posOffset>
                </wp:positionV>
                <wp:extent cx="6181725" cy="800100"/>
                <wp:effectExtent l="3810" t="3175" r="2540" b="3175"/>
                <wp:wrapNone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56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280"/>
                              <w:ind w:firstLine="210"/>
                              <w:rPr>
                                <w:rFonts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  <w:t>令和５年</w:t>
                            </w:r>
                            <w:r>
                              <w:rPr>
                                <w:rFonts w:eastAsia="ＭＳ ゴシック" w:ascii="ＭＳ ゴシック" w:hAnsi="ＭＳ ゴシック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Style25"/>
                              <w:spacing w:lineRule="exact" w:line="280"/>
                              <w:ind w:firstLine="280"/>
                              <w:rPr>
                                <w:rFonts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path="m0,0l-2147483645,0l-2147483645,-2147483646l0,-2147483646xe" fillcolor="white" stroked="t" o:allowincell="f" style="position:absolute;margin-left:1.65pt;margin-top:9.1pt;width:486.7pt;height:62.95pt;mso-wrap-style:square;v-text-anchor:top;mso-position-horizontal-relative:margin" wp14:anchorId="73322E1C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280"/>
                        <w:ind w:firstLine="210"/>
                        <w:rPr>
                          <w:rFonts w:ascii="ＭＳ ゴシック" w:hAnsi="ＭＳ ゴシック" w:eastAsia="ＭＳ ゴシック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0"/>
                        </w:rPr>
                        <w:t>令和５年</w:t>
                      </w:r>
                      <w:r>
                        <w:rPr>
                          <w:rFonts w:eastAsia="ＭＳ ゴシック" w:ascii="ＭＳ ゴシック" w:hAnsi="ＭＳ ゴシック"/>
                          <w:color w:val="000000"/>
                        </w:rPr>
                        <w:t>10</w:t>
                      </w:r>
                      <w:r>
                        <w:rPr>
                          <w:rFonts w:ascii="ＭＳ ゴシック" w:hAnsi="ＭＳ ゴシック" w:eastAsia="ＭＳ ゴシック"/>
                          <w:color w:val="00000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Style25"/>
                        <w:spacing w:lineRule="exact" w:line="280"/>
                        <w:ind w:firstLine="280"/>
                        <w:rPr>
                          <w:rFonts w:ascii="ＭＳ ゴシック" w:hAnsi="ＭＳ ゴシック" w:eastAsia="ＭＳ ゴシック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0"/>
                          <w:sz w:val="28"/>
                          <w:szCs w:val="32"/>
                        </w:rPr>
                        <w:t xml:space="preserve">□ </w:t>
                      </w:r>
                      <w:r>
                        <w:rPr>
                          <w:rFonts w:ascii="ＭＳ ゴシック" w:hAnsi="ＭＳ ゴシック" w:eastAsia="ＭＳ ゴシック"/>
                          <w:color w:val="00000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  <w:kern w:val="0"/>
        </w:rPr>
      </w:pPr>
      <w:r>
        <w:rPr>
          <w:rFonts w:eastAsia="ＭＳ ゴシック" w:ascii="ＭＳ ゴシック" w:hAnsi="ＭＳ ゴシック"/>
          <w:color w:val="000000"/>
          <w:kern w:val="0"/>
        </w:rPr>
      </w:r>
    </w:p>
    <w:p>
      <w:pPr>
        <w:pStyle w:val="Normal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  <w:kern w:val="0"/>
        </w:rPr>
      </w:pPr>
      <w:r>
        <w:rPr>
          <w:rFonts w:eastAsia="ＭＳ ゴシック" w:ascii="ＭＳ ゴシック" w:hAnsi="ＭＳ ゴシック"/>
          <w:color w:val="000000"/>
          <w:kern w:val="0"/>
        </w:rPr>
      </w:r>
    </w:p>
    <w:p>
      <w:pPr>
        <w:pStyle w:val="Normal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  <w:kern w:val="0"/>
        </w:rPr>
      </w:pPr>
      <w:r>
        <w:rPr>
          <w:rFonts w:eastAsia="ＭＳ ゴシック" w:ascii="ＭＳ ゴシック" w:hAnsi="ＭＳ ゴシック"/>
          <w:color w:val="000000"/>
          <w:kern w:val="0"/>
        </w:rPr>
      </w:r>
    </w:p>
    <w:p>
      <w:pPr>
        <w:pStyle w:val="Normal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  <w:kern w:val="0"/>
        </w:rPr>
      </w:pPr>
      <w:r>
        <w:rPr>
          <w:rFonts w:eastAsia="ＭＳ ゴシック" w:ascii="ＭＳ ゴシック" w:hAnsi="ＭＳ ゴシック"/>
          <w:color w:val="000000"/>
          <w:kern w:val="0"/>
        </w:rPr>
      </w:r>
    </w:p>
    <w:p>
      <w:pPr>
        <w:pStyle w:val="Normal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  <w:kern w:val="0"/>
        </w:rPr>
      </w:pPr>
      <w:r>
        <w:rPr>
          <w:rFonts w:eastAsia="ＭＳ ゴシック" w:ascii="ＭＳ ゴシック" w:hAnsi="ＭＳ ゴシック"/>
          <w:color w:val="000000"/>
          <w:kern w:val="0"/>
        </w:rPr>
      </w:r>
    </w:p>
    <w:p>
      <w:pPr>
        <w:pStyle w:val="Normal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  <w:spacing w:val="16"/>
          <w:kern w:val="0"/>
        </w:rPr>
      </w:pPr>
      <w:r>
        <w:rPr>
          <w:rFonts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W w:w="9724" w:type="dxa"/>
        <w:jc w:val="left"/>
        <w:tblInd w:w="52" w:type="dxa"/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9724"/>
      </w:tblGrid>
      <w:tr>
        <w:trPr/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widowControl w:val="false"/>
              <w:overflowPunct w:val="true"/>
              <w:spacing w:lineRule="atLeast" w:line="274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>
            <w:pPr>
              <w:pStyle w:val="Normal"/>
              <w:widowControl w:val="false"/>
              <w:overflowPunct w:val="true"/>
              <w:spacing w:lineRule="atLeast" w:line="274"/>
              <w:jc w:val="center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widowControl w:val="false"/>
              <w:overflowPunct w:val="true"/>
              <w:spacing w:lineRule="atLeast" w:line="274"/>
              <w:ind w:firstLine="777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年　　月　　日</w:t>
            </w:r>
          </w:p>
          <w:p>
            <w:pPr>
              <w:pStyle w:val="Normal"/>
              <w:widowControl w:val="fals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胎内市長　殿</w:t>
            </w:r>
          </w:p>
          <w:p>
            <w:pPr>
              <w:pStyle w:val="Normal"/>
              <w:widowControl w:val="fals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ind w:firstLine="546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申請者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ind w:right="840" w:firstLine="5880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Cs w:val="21"/>
              </w:rPr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ind w:firstLine="546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住　所　　　　　　　　　　　　 　　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righ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righ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ind w:firstLine="546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氏　名                           　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私は、</w:t>
            </w:r>
            <w:r>
              <w:rPr>
                <w:rFonts w:ascii="ＭＳ ゴシック" w:hAnsi="ＭＳ ゴシック" w:eastAsia="ＭＳ ゴシック"/>
                <w:color w:val="000000"/>
                <w:kern w:val="0"/>
              </w:rPr>
              <w:t>新型コロナウイルス感染症の発生に起因して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記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１　事業開始年月日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 　　　年　　　月　　　日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２  （１）売上高等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（イ）最近１か月間の売上高等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Ｂ   </w:t>
            </w: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Cs w:val="21"/>
              </w:rPr>
              <w:t>×100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 Ａ：災害等の発生における最近１か月間の売上高等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        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       Ｂ：Ａの期間に対応する前年１か月間の売上高等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        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（ロ）最近３か月間の売上高等の実績見込み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減少率  　    ％（実績見込み）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Ｂ＋Ｄ         </w:t>
            </w: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Cs w:val="21"/>
              </w:rPr>
              <w:t>×100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Ｃ：Ａの期間後２か月間の見込み売上高等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　　　　        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 　　　　　      円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       Ｄ：Ｃの期間に対応する前年の２か月間の売上高等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　　        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 　　　　　      円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>
            <w:pPr>
              <w:pStyle w:val="Normal"/>
              <w:widowControl w:val="false"/>
              <w:overflowPunct w:val="true"/>
              <w:spacing w:lineRule="exact" w:line="206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widowControl w:val="fals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</w:tc>
      </w:tr>
    </w:tbl>
    <w:p>
      <w:pPr>
        <w:pStyle w:val="Normal"/>
        <w:spacing w:lineRule="exact" w:line="246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（留意事項）</w:t>
      </w:r>
    </w:p>
    <w:p>
      <w:pPr>
        <w:pStyle w:val="Normal"/>
        <w:spacing w:lineRule="exact" w:line="246"/>
        <w:jc w:val="left"/>
        <w:textAlignment w:val="baseline"/>
        <w:rPr>
          <w:rFonts w:ascii="ＭＳ ゴシック" w:hAnsi="ＭＳ ゴシック" w:eastAsia="ＭＳ ゴシック"/>
          <w:color w:val="000000"/>
          <w:spacing w:val="16"/>
          <w:kern w:val="0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　</w:t>
      </w:r>
      <w:r>
        <w:rPr>
          <w:rFonts w:ascii="ＭＳ ゴシック" w:hAnsi="ＭＳ ゴシック" w:eastAsia="ＭＳ ゴシック"/>
          <w:color w:val="000000"/>
          <w:kern w:val="0"/>
        </w:rPr>
        <w:t>①　本認定とは別に、金融機関及び信用保証協会による金融上の審査があります。</w:t>
      </w:r>
    </w:p>
    <w:p>
      <w:pPr>
        <w:pStyle w:val="Normal"/>
        <w:spacing w:lineRule="exact" w:line="260"/>
        <w:ind w:left="420" w:hanging="420"/>
        <w:jc w:val="left"/>
        <w:textAlignment w:val="baseline"/>
        <w:rPr>
          <w:rFonts w:ascii="ＭＳ ゴシック" w:hAnsi="ＭＳ ゴシック" w:eastAsia="ＭＳ ゴシック"/>
          <w:color w:val="000000"/>
          <w:kern w:val="0"/>
        </w:rPr>
      </w:pPr>
      <w:r>
        <w:rPr>
          <w:rFonts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Normal"/>
        <w:spacing w:lineRule="auto" w:line="276"/>
        <w:jc w:val="left"/>
        <w:textAlignment w:val="baseline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第　　　号</w:t>
      </w:r>
    </w:p>
    <w:p>
      <w:pPr>
        <w:pStyle w:val="Normal"/>
        <w:spacing w:lineRule="auto" w:line="276"/>
        <w:jc w:val="left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　令和　　年　　月　　日</w:t>
      </w:r>
    </w:p>
    <w:p>
      <w:pPr>
        <w:pStyle w:val="Normal"/>
        <w:spacing w:lineRule="auto" w:line="276"/>
        <w:jc w:val="left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　　申請のとおり、相違いないことを認定します。</w:t>
      </w:r>
    </w:p>
    <w:p>
      <w:pPr>
        <w:pStyle w:val="Normal"/>
        <w:spacing w:lineRule="auto" w:line="276"/>
        <w:jc w:val="left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szCs w:val="21"/>
        </w:rPr>
        <w:t>　（注）本認定書の有効期間：令和　　年　　月　　日から令和　　年　　月　　日まで</w:t>
      </w:r>
    </w:p>
    <w:p>
      <w:pPr>
        <w:pStyle w:val="Normal"/>
        <w:spacing w:lineRule="auto" w:line="276"/>
        <w:ind w:firstLine="6720"/>
        <w:jc w:val="left"/>
        <w:textAlignment w:val="baseline"/>
        <w:rPr>
          <w:rFonts w:ascii="ＭＳ ゴシック" w:hAnsi="ＭＳ ゴシック" w:eastAsia="ＭＳ ゴシック"/>
          <w:szCs w:val="21"/>
          <w:bdr w:val="single" w:sz="4" w:space="0" w:color="000000"/>
        </w:rPr>
      </w:pPr>
      <w:r>
        <w:rPr>
          <w:rFonts w:ascii="ＭＳ ゴシック" w:hAnsi="ＭＳ ゴシック" w:eastAsia="ＭＳ ゴシック"/>
          <w:szCs w:val="21"/>
        </w:rPr>
        <w:t>胎内市長　井 畑　明 彦</w:t>
      </w:r>
    </w:p>
    <w:sectPr>
      <w:type w:val="nextPage"/>
      <w:pgSz w:w="11906" w:h="16838"/>
      <w:pgMar w:left="1077" w:right="1077" w:gutter="0" w:header="0" w:top="709" w:footer="0" w:bottom="568"/>
      <w:pgNumType w:fmt="decimal"/>
      <w:formProt w:val="false"/>
      <w:textDirection w:val="lrTb"/>
      <w:docGrid w:type="lines" w:linePitch="360" w:charSpace="1187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752b"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837fd6"/>
    <w:rPr/>
  </w:style>
  <w:style w:type="character" w:styleId="Style15" w:customStyle="1">
    <w:name w:val="フッター (文字)"/>
    <w:basedOn w:val="DefaultParagraphFont"/>
    <w:uiPriority w:val="99"/>
    <w:qFormat/>
    <w:rsid w:val="00837fd6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c5327f"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paragraph" w:styleId="Style17" w:customStyle="1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索引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837fd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unhideWhenUsed/>
    <w:rsid w:val="00837fd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c5327f"/>
    <w:pPr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paragraph" w:styleId="Style25" w:customStyle="1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LibreOffice/7.3.0.3$Windows_X86_64 LibreOffice_project/0f246aa12d0eee4a0f7adcefbf7c878fc2238db3</Application>
  <AppVersion>15.0000</AppVersion>
  <Pages>2</Pages>
  <Words>661</Words>
  <Characters>668</Characters>
  <CharactersWithSpaces>1228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2023-09-14T04:30:00Z</dcterms:created>
  <dc:creator>kankou</dc:creator>
  <dc:description/>
  <dc:language>ja-JP</dc:language>
  <cp:lastModifiedBy>kankou</cp:lastModifiedBy>
  <dcterms:modified xsi:type="dcterms:W3CDTF">2023-11-08T07:32:00Z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